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506592</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29</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NR mobility enhancements</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0C3C4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This is the first meeting for RAN4 to discuss RRM performance requirements for NR mobility enhancements</w:t>
      </w:r>
      <w:r>
        <w:rPr>
          <w:rFonts w:hint="eastAsia" w:ascii="Times New Roman" w:hAnsi="Times New Roman"/>
          <w:sz w:val="20"/>
          <w:szCs w:val="20"/>
        </w:rPr>
        <w:t>.</w:t>
      </w:r>
      <w:r>
        <w:rPr>
          <w:rFonts w:hint="eastAsia" w:ascii="Times New Roman" w:hAnsi="Times New Roman"/>
          <w:sz w:val="20"/>
          <w:szCs w:val="20"/>
          <w:lang w:val="en-US" w:eastAsia="zh-CN"/>
        </w:rPr>
        <w:t xml:space="preserve">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intial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6CDA552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Cs/>
          <w:sz w:val="20"/>
          <w:szCs w:val="20"/>
          <w:lang w:val="en-US" w:eastAsia="zh-CN"/>
        </w:rPr>
      </w:pPr>
      <w:r>
        <w:rPr>
          <w:rFonts w:hint="eastAsia" w:ascii="Times New Roman" w:hAnsi="Times New Roman" w:cs="Times New Roman"/>
          <w:sz w:val="20"/>
          <w:szCs w:val="20"/>
          <w:lang w:val="en-US" w:eastAsia="zh-CN"/>
        </w:rPr>
        <w:t xml:space="preserve">For </w:t>
      </w:r>
      <w:r>
        <w:rPr>
          <w:rFonts w:hint="default" w:ascii="Times New Roman" w:hAnsi="Times New Roman" w:cs="Times New Roman"/>
          <w:bCs/>
          <w:sz w:val="20"/>
          <w:szCs w:val="20"/>
        </w:rPr>
        <w:t>inter-CU Layer1/Layer 2 Triggered Mobility (LTM)</w:t>
      </w:r>
      <w:r>
        <w:rPr>
          <w:rFonts w:hint="eastAsia" w:ascii="Times New Roman" w:hAnsi="Times New Roman" w:cs="Times New Roman"/>
          <w:bCs/>
          <w:sz w:val="20"/>
          <w:szCs w:val="20"/>
          <w:lang w:val="en-US" w:eastAsia="zh-CN"/>
        </w:rPr>
        <w:t>, from RAN4 perspective, following agreements are reached.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E06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C11AF8C">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RAN4 agreements at #112 meeting (</w:t>
            </w:r>
            <w:r>
              <w:rPr>
                <w:rFonts w:hint="default" w:ascii="Times New Roman" w:hAnsi="Times New Roman" w:cs="Times New Roman"/>
                <w:b/>
                <w:bCs/>
                <w:sz w:val="20"/>
                <w:szCs w:val="20"/>
                <w:lang w:eastAsia="zh-CN"/>
              </w:rPr>
              <w:t>R4-2414060</w:t>
            </w:r>
            <w:r>
              <w:rPr>
                <w:rFonts w:hint="default" w:ascii="Times New Roman" w:hAnsi="Times New Roman" w:cs="Times New Roman"/>
                <w:b/>
                <w:bCs/>
                <w:sz w:val="20"/>
                <w:szCs w:val="20"/>
                <w:lang w:val="en-US" w:eastAsia="zh-CN"/>
              </w:rPr>
              <w:t>)</w:t>
            </w:r>
          </w:p>
          <w:p w14:paraId="677787CF">
            <w:pPr>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2-1-1: RAN4 scope of inter-CU LTM</w:t>
            </w:r>
          </w:p>
          <w:p w14:paraId="6E5A3897">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w:t>
            </w:r>
          </w:p>
          <w:p w14:paraId="412A9697">
            <w:pPr>
              <w:numPr>
                <w:ilvl w:val="1"/>
                <w:numId w:val="4"/>
              </w:numPr>
              <w:spacing w:after="12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Existing R18 LTM related RRM requirements also apply to same procedures in inter-CU scenario.</w:t>
            </w:r>
          </w:p>
          <w:p w14:paraId="19E000CA">
            <w:pPr>
              <w:numPr>
                <w:ilvl w:val="1"/>
                <w:numId w:val="4"/>
              </w:numPr>
              <w:spacing w:after="12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No RRM impact is foreseen to support inter-CU LTM. RAN4 can revisit this if any issue identified.</w:t>
            </w:r>
          </w:p>
          <w:p w14:paraId="07D3E8A8">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p>
          <w:p w14:paraId="77AEF40F">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lang w:val="en-US" w:eastAsia="zh-CN"/>
              </w:rPr>
              <w:t>RAN4 agreements at #113 meeting (</w:t>
            </w:r>
            <w:r>
              <w:rPr>
                <w:rFonts w:hint="default" w:ascii="Times New Roman" w:hAnsi="Times New Roman" w:cs="Times New Roman"/>
                <w:b/>
                <w:bCs/>
                <w:sz w:val="20"/>
                <w:szCs w:val="20"/>
                <w:lang w:val="zh-CN" w:eastAsia="zh-CN"/>
              </w:rPr>
              <w:t>R4-2420101</w:t>
            </w:r>
            <w:r>
              <w:rPr>
                <w:rFonts w:hint="default" w:ascii="Times New Roman" w:hAnsi="Times New Roman" w:cs="Times New Roman"/>
                <w:b/>
                <w:bCs/>
                <w:sz w:val="20"/>
                <w:szCs w:val="20"/>
                <w:lang w:val="en-US" w:eastAsia="zh-CN"/>
              </w:rPr>
              <w:t>)</w:t>
            </w:r>
          </w:p>
          <w:p w14:paraId="2EBCD3FE">
            <w:pPr>
              <w:spacing w:after="120"/>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1-1: R19 inter-CU subsequent LTM</w:t>
            </w:r>
          </w:p>
          <w:p w14:paraId="603F636D">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&lt;Agreement&gt; </w:t>
            </w:r>
          </w:p>
          <w:p w14:paraId="7AD63EC9">
            <w:pPr>
              <w:numPr>
                <w:ilvl w:val="0"/>
                <w:numId w:val="5"/>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Rel-18 cell switch delay requirements can be reused for Rel-19 inter-CU subsequent LTM.</w:t>
            </w:r>
          </w:p>
          <w:p w14:paraId="08339E55">
            <w:pPr>
              <w:numPr>
                <w:ilvl w:val="0"/>
                <w:numId w:val="5"/>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Note: this can be revisited if any critical issue identified. </w:t>
            </w:r>
          </w:p>
          <w:p w14:paraId="15673157">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Cs/>
                <w:sz w:val="20"/>
                <w:szCs w:val="20"/>
                <w:vertAlign w:val="baseline"/>
                <w:lang w:val="en-US" w:eastAsia="zh-CN"/>
              </w:rPr>
            </w:pPr>
          </w:p>
        </w:tc>
      </w:tr>
    </w:tbl>
    <w:p w14:paraId="47A9427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Cs/>
          <w:sz w:val="20"/>
          <w:szCs w:val="20"/>
          <w:lang w:val="en-US" w:eastAsia="zh-CN"/>
        </w:rPr>
      </w:pPr>
    </w:p>
    <w:p w14:paraId="735E39E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bCs/>
          <w:sz w:val="20"/>
          <w:szCs w:val="20"/>
          <w:lang w:val="en-US" w:eastAsia="zh-CN"/>
        </w:rPr>
        <w:t xml:space="preserve">It can be seen that legacy Rel-18 </w:t>
      </w:r>
      <w:r>
        <w:rPr>
          <w:rFonts w:hint="default" w:ascii="Times New Roman" w:hAnsi="Times New Roman" w:cs="Times New Roman"/>
          <w:color w:val="000000" w:themeColor="text1"/>
          <w:sz w:val="20"/>
          <w:szCs w:val="20"/>
          <w:lang w:val="en-US"/>
          <w14:textFill>
            <w14:solidFill>
              <w14:schemeClr w14:val="tx1"/>
            </w14:solidFill>
          </w14:textFill>
        </w:rPr>
        <w:t>LTM related RRM requirements</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are applied to inter-CU LTM and inter-CU subsequent LTM. </w:t>
      </w:r>
      <w:r>
        <w:rPr>
          <w:rFonts w:hint="default" w:ascii="Times New Roman" w:hAnsi="Times New Roman" w:eastAsia="宋体" w:cs="Times New Roman"/>
          <w:sz w:val="20"/>
          <w:szCs w:val="20"/>
          <w:lang w:val="en-US" w:eastAsia="zh-CN"/>
        </w:rPr>
        <w:t xml:space="preserve">Compared with intra-CU LTM, from cell switch procedure perspective, UE behaviour is similar, i.e. UE need to process the configuration, and perform DL and UL synchronization. </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From this point of view, </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it seems that there is no </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need to </w:t>
      </w:r>
      <w:r>
        <w:rPr>
          <w:rFonts w:hint="eastAsia" w:ascii="Times New Roman" w:hAnsi="Times New Roman" w:cs="Times New Roman"/>
          <w:color w:val="000000" w:themeColor="text1"/>
          <w:sz w:val="20"/>
          <w:szCs w:val="20"/>
          <w:lang w:val="en-US" w:eastAsia="zh-CN"/>
          <w14:textFill>
            <w14:solidFill>
              <w14:schemeClr w14:val="tx1"/>
            </w14:solidFill>
          </w14:textFill>
        </w:rPr>
        <w:t>introduce</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new test cases.</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 But we are open for further discussion.</w:t>
      </w:r>
    </w:p>
    <w:p w14:paraId="09D67F1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1: for </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inter-CU LTM and inter-CU subsequent LTM</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it is proposed to discuss whether to define test cases.</w:t>
      </w:r>
    </w:p>
    <w:p w14:paraId="09A5FD5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For event triggered L1 measurement reporting, RAN4 agreed to define requirements for SSB based and CSI-RS based measurements. In addition to intra-frequency measurement and inter-frequency measurement without gap, support gap-based inter-frequency measurement for SSB-based L1 measurement. For CSI-RS based measurement, only measurement without gap are considered. Both FR1 and FR2-1 are in scope of RRM requirements for Event triggered L1 measurement reporting. To guarantee the performance, it is proposed to define define test cases for SSB based and CSI-RS based event triggered L1 measurement reporting. From test coverage point of view, with gap and withou gap, FR1 and FR2-1 need to be covered.</w:t>
      </w:r>
    </w:p>
    <w:p w14:paraId="04C3E9C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2: for event triggered L1 measurement reporting, it is proposed to define test cases for SSB based measurement and CSI-RS based measurements.</w:t>
      </w:r>
    </w:p>
    <w:p w14:paraId="33547F39">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Both FR1 and FR2-1 are considered.</w:t>
      </w:r>
    </w:p>
    <w:p w14:paraId="17171ADE">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SSB based event triggered L1 measurement reporting, intra-frequency measurement, inter-frequency measurement without gap, gap-based inter-frequency measurement need to be considered.</w:t>
      </w:r>
    </w:p>
    <w:p w14:paraId="5519C99F">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CSI-RS based event triggered L1 measurement reporting, measurement without gap need to be considered.</w:t>
      </w:r>
    </w:p>
    <w:p w14:paraId="2792113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Following LTM events based on beam specific quality of serving cell and candidate cells are supported as the L1 LTM measurement events. </w:t>
      </w:r>
    </w:p>
    <w:p w14:paraId="554A6C46">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LTM2: Beam of serving cell becomes worse than absolute threshold</w:t>
      </w:r>
    </w:p>
    <w:p w14:paraId="3954ACC6">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LTM3: Beam of candidate cell becomes amount of offset better than beam of serving cell</w:t>
      </w:r>
    </w:p>
    <w:p w14:paraId="20417748">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LTM4: Beam of candidate cell becomes better than absolute threshold</w:t>
      </w:r>
    </w:p>
    <w:p w14:paraId="533C79E7">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LTM5: Beam of serving cell becomes worse than absolute threshold1 AND Beam of candidate cell becomes better than another absolute threshold2.</w:t>
      </w:r>
    </w:p>
    <w:p w14:paraId="577D811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From test coverage point of view, it is preferred to define different test cases cover different LTM event. However, the test burden also need to be considered. To reduce the test number, selecting some of these LTM events are also fine. In our view, LTM event 3 and LTM event 5 are preferred. Since relative accuracy can be verified by Event LTM3, and absolte accuracy can be verified by Event LTM5.</w:t>
      </w:r>
    </w:p>
    <w:p w14:paraId="3E05C14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define test cases for LTM event 2/3/4/5 .   </w:t>
      </w:r>
    </w:p>
    <w:p w14:paraId="08F865E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previous agreements, both FR1 and FR2-1 are in scope of RRM requirements for CSI-RS based L1-RSRP measurement on LTM candidate cell(s). </w:t>
      </w:r>
      <w:r>
        <w:rPr>
          <w:rFonts w:hint="default" w:ascii="Times New Roman" w:hAnsi="Times New Roman" w:cs="Times New Roman"/>
          <w:sz w:val="20"/>
          <w:szCs w:val="20"/>
          <w:lang w:val="en-US" w:eastAsia="zh-CN"/>
        </w:rPr>
        <w:t>CSI-RS based L1 measurement without gap is supported.</w:t>
      </w:r>
      <w:r>
        <w:rPr>
          <w:rFonts w:hint="eastAsia" w:ascii="Times New Roman" w:hAnsi="Times New Roman" w:cs="Times New Roman"/>
          <w:sz w:val="20"/>
          <w:szCs w:val="20"/>
          <w:lang w:val="en-US" w:eastAsia="zh-CN"/>
        </w:rPr>
        <w:t xml:space="preserve"> From RAN4 perspective, not to define RAN4 requirements for L1 measurement with gap for CSI-RS based L1 measurement on neighbor cell. </w:t>
      </w:r>
    </w:p>
    <w:p w14:paraId="10B4B0A6">
      <w:pPr>
        <w:numPr>
          <w:ilvl w:val="0"/>
          <w:numId w:val="0"/>
        </w:numPr>
        <w:spacing w:after="120"/>
        <w:ind w:leftChars="0"/>
        <w:rPr>
          <w:bCs/>
          <w:color w:val="000000" w:themeColor="text1"/>
          <w:lang w:val="en-US"/>
          <w14:textFill>
            <w14:solidFill>
              <w14:schemeClr w14:val="tx1"/>
            </w14:solidFill>
          </w14:textFill>
        </w:rPr>
      </w:pPr>
      <w:r>
        <w:rPr>
          <w:rFonts w:hint="eastAsia" w:ascii="Times New Roman" w:hAnsi="Times New Roman" w:cs="Times New Roman"/>
          <w:sz w:val="20"/>
          <w:szCs w:val="20"/>
          <w:lang w:val="en-US" w:eastAsia="zh-CN"/>
        </w:rPr>
        <w:t>The agreements on measurement procedure for CSI-RS based LTM candidate cell measurements are summarized as following:</w:t>
      </w:r>
    </w:p>
    <w:p w14:paraId="0DEAB98F">
      <w:pPr>
        <w:numPr>
          <w:ilvl w:val="1"/>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Step 1: SSB based L3 measurements and reports </w:t>
      </w:r>
      <w:r>
        <w:rPr>
          <w:rFonts w:hint="default" w:ascii="Times New Roman" w:hAnsi="Times New Roman" w:cs="Times New Roman"/>
          <w:bCs/>
          <w:color w:val="000000" w:themeColor="text1"/>
          <w:sz w:val="20"/>
          <w:szCs w:val="20"/>
          <w:u w:val="single"/>
          <w:lang w:val="en-US"/>
          <w14:textFill>
            <w14:solidFill>
              <w14:schemeClr w14:val="tx1"/>
            </w14:solidFill>
          </w14:textFill>
        </w:rPr>
        <w:t>at least before LTM configuration.</w:t>
      </w:r>
      <w:r>
        <w:rPr>
          <w:rFonts w:hint="default" w:ascii="Times New Roman" w:hAnsi="Times New Roman" w:cs="Times New Roman"/>
          <w:bCs/>
          <w:color w:val="000000" w:themeColor="text1"/>
          <w:sz w:val="20"/>
          <w:szCs w:val="20"/>
          <w:lang w:val="en-US"/>
          <w14:textFill>
            <w14:solidFill>
              <w14:schemeClr w14:val="tx1"/>
            </w14:solidFill>
          </w14:textFill>
        </w:rPr>
        <w:t xml:space="preserve"> </w:t>
      </w:r>
    </w:p>
    <w:p w14:paraId="3E48FD8B">
      <w:pPr>
        <w:numPr>
          <w:ilvl w:val="1"/>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Step 2: </w:t>
      </w:r>
      <w:r>
        <w:rPr>
          <w:rFonts w:hint="default" w:ascii="Times New Roman" w:hAnsi="Times New Roman" w:cs="Times New Roman"/>
          <w:bCs/>
          <w:color w:val="000000" w:themeColor="text1"/>
          <w:sz w:val="20"/>
          <w:szCs w:val="20"/>
          <w:u w:val="single"/>
          <w:lang w:val="en-US"/>
          <w14:textFill>
            <w14:solidFill>
              <w14:schemeClr w14:val="tx1"/>
            </w14:solidFill>
          </w14:textFill>
        </w:rPr>
        <w:t>For FR2-1,</w:t>
      </w:r>
      <w:r>
        <w:rPr>
          <w:rFonts w:hint="default" w:ascii="Times New Roman" w:hAnsi="Times New Roman" w:cs="Times New Roman"/>
          <w:bCs/>
          <w:color w:val="000000" w:themeColor="text1"/>
          <w:sz w:val="20"/>
          <w:szCs w:val="20"/>
          <w:lang w:val="en-US"/>
          <w14:textFill>
            <w14:solidFill>
              <w14:schemeClr w14:val="tx1"/>
            </w14:solidFill>
          </w14:textFill>
        </w:rPr>
        <w:t xml:space="preserve"> SSB-based L1 measurements and reports on the same candidate cell</w:t>
      </w:r>
    </w:p>
    <w:p w14:paraId="2785C583">
      <w:pPr>
        <w:numPr>
          <w:ilvl w:val="2"/>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Whether step 2 can be skipped for neighboring cell or not based on new UE capability reporting.</w:t>
      </w:r>
    </w:p>
    <w:p w14:paraId="7CBA6FC7">
      <w:pPr>
        <w:numPr>
          <w:ilvl w:val="0"/>
          <w:numId w:val="8"/>
        </w:numPr>
        <w:spacing w:after="120"/>
        <w:ind w:left="168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For a UE not supporting the capability, Step 2 is necessary. </w:t>
      </w:r>
    </w:p>
    <w:p w14:paraId="696B421A">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The CSI-RS resources in Step 3 should be at least Type-D QCL’ed with the SSB in Step 2.</w:t>
      </w:r>
    </w:p>
    <w:p w14:paraId="3B4936CE">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UE Rx beam sweeping factor is not included in the CSI-RS based L1-RSRP measurement period assuming the CSI-RS resources are in the CSI-RS resource set with ‘repetition = off.’</w:t>
      </w:r>
    </w:p>
    <w:p w14:paraId="6D86844B">
      <w:pPr>
        <w:numPr>
          <w:ilvl w:val="0"/>
          <w:numId w:val="8"/>
        </w:numPr>
        <w:spacing w:after="120"/>
        <w:ind w:left="168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For a UE supporting the capability, Step 2 can be skipped, and if the Step 2 is skipped:</w:t>
      </w:r>
    </w:p>
    <w:p w14:paraId="72AE2517">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The CSI-RS resources in Step 3 should be Type-D QCL’ed with the SSB in Step 1. </w:t>
      </w:r>
    </w:p>
    <w:p w14:paraId="694B5C9B">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The CSI-RS resources should be periodic or semi-persistent, and the CSI-RS resources are in the CSI-RS resource set with ‘repetition = off.’</w:t>
      </w:r>
    </w:p>
    <w:p w14:paraId="6C4CEC82">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UE Rx beam sweeping factor needs to be included in the CSI-RS based L1-RSRP measurement period, and further discuss the detail of beam sweeping factor.</w:t>
      </w:r>
    </w:p>
    <w:p w14:paraId="54244F8E">
      <w:pPr>
        <w:numPr>
          <w:ilvl w:val="2"/>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Note: Step 2 is removed for FR1.</w:t>
      </w:r>
    </w:p>
    <w:p w14:paraId="00F51948">
      <w:pPr>
        <w:numPr>
          <w:ilvl w:val="1"/>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Step 3: CSI-RS based L1 measurements on the same candidate cell</w:t>
      </w:r>
    </w:p>
    <w:p w14:paraId="2CB83AFC">
      <w:pPr>
        <w:numPr>
          <w:ilvl w:val="2"/>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Depending on whether step 2 is skipped, the requirements in step 3 may be different.</w:t>
      </w:r>
    </w:p>
    <w:p w14:paraId="5E84D23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It can be seen that whether step 2 is removed or not has impact on </w:t>
      </w:r>
      <w:r>
        <w:rPr>
          <w:rFonts w:hint="default" w:ascii="Times New Roman" w:hAnsi="Times New Roman" w:cs="Times New Roman"/>
          <w:bCs/>
          <w:color w:val="000000" w:themeColor="text1"/>
          <w:sz w:val="20"/>
          <w:szCs w:val="20"/>
          <w:lang w:val="en-US"/>
          <w14:textFill>
            <w14:solidFill>
              <w14:schemeClr w14:val="tx1"/>
            </w14:solidFill>
          </w14:textFill>
        </w:rPr>
        <w:t>CSI-RS based L1-RSRP measurement period</w:t>
      </w:r>
      <w:r>
        <w:rPr>
          <w:rFonts w:hint="eastAsia" w:ascii="Times New Roman" w:hAnsi="Times New Roman" w:cs="Times New Roman"/>
          <w:bCs/>
          <w:color w:val="000000" w:themeColor="text1"/>
          <w:sz w:val="20"/>
          <w:szCs w:val="20"/>
          <w:lang w:val="en-US" w:eastAsia="zh-CN"/>
          <w14:textFill>
            <w14:solidFill>
              <w14:schemeClr w14:val="tx1"/>
            </w14:solidFill>
          </w14:textFill>
        </w:rPr>
        <w:t xml:space="preserve">. Without step 2, </w:t>
      </w:r>
      <w:r>
        <w:rPr>
          <w:rFonts w:hint="default" w:ascii="Times New Roman" w:hAnsi="Times New Roman" w:cs="Times New Roman"/>
          <w:bCs/>
          <w:color w:val="000000" w:themeColor="text1"/>
          <w:sz w:val="20"/>
          <w:szCs w:val="20"/>
          <w:lang w:val="en-US"/>
          <w14:textFill>
            <w14:solidFill>
              <w14:schemeClr w14:val="tx1"/>
            </w14:solidFill>
          </w14:textFill>
        </w:rPr>
        <w:t>UE Rx beam sweeping factor</w:t>
      </w:r>
      <w:r>
        <w:rPr>
          <w:rFonts w:hint="eastAsia" w:ascii="Times New Roman" w:hAnsi="Times New Roman" w:cs="Times New Roman"/>
          <w:sz w:val="20"/>
          <w:szCs w:val="20"/>
          <w:lang w:val="en-US" w:eastAsia="zh-CN"/>
        </w:rPr>
        <w:t xml:space="preserve"> is included </w:t>
      </w:r>
      <w:r>
        <w:rPr>
          <w:rFonts w:hint="default" w:ascii="Times New Roman" w:hAnsi="Times New Roman" w:cs="Times New Roman"/>
          <w:bCs/>
          <w:color w:val="000000" w:themeColor="text1"/>
          <w:sz w:val="20"/>
          <w:szCs w:val="20"/>
          <w:lang w:val="en-US"/>
          <w14:textFill>
            <w14:solidFill>
              <w14:schemeClr w14:val="tx1"/>
            </w14:solidFill>
          </w14:textFill>
        </w:rPr>
        <w:t>in the CSI-RS based L1-RSRP measurement period</w:t>
      </w:r>
      <w:r>
        <w:rPr>
          <w:rFonts w:hint="eastAsia" w:ascii="Times New Roman" w:hAnsi="Times New Roman" w:cs="Times New Roman"/>
          <w:bCs/>
          <w:color w:val="000000" w:themeColor="text1"/>
          <w:sz w:val="20"/>
          <w:szCs w:val="20"/>
          <w:lang w:val="en-US" w:eastAsia="zh-CN"/>
          <w14:textFill>
            <w14:solidFill>
              <w14:schemeClr w14:val="tx1"/>
            </w14:solidFill>
          </w14:textFill>
        </w:rPr>
        <w:t xml:space="preserve">. With step 2, </w:t>
      </w:r>
      <w:r>
        <w:rPr>
          <w:rFonts w:hint="default" w:ascii="Times New Roman" w:hAnsi="Times New Roman" w:cs="Times New Roman"/>
          <w:bCs/>
          <w:color w:val="000000" w:themeColor="text1"/>
          <w:sz w:val="20"/>
          <w:szCs w:val="20"/>
          <w:lang w:val="en-US"/>
          <w14:textFill>
            <w14:solidFill>
              <w14:schemeClr w14:val="tx1"/>
            </w14:solidFill>
          </w14:textFill>
        </w:rPr>
        <w:t>UE Rx beam sweeping factor</w:t>
      </w:r>
      <w:r>
        <w:rPr>
          <w:rFonts w:hint="eastAsia" w:ascii="Times New Roman" w:hAnsi="Times New Roman" w:cs="Times New Roman"/>
          <w:sz w:val="20"/>
          <w:szCs w:val="20"/>
          <w:lang w:val="en-US" w:eastAsia="zh-CN"/>
        </w:rPr>
        <w:t xml:space="preserve"> is not included </w:t>
      </w:r>
      <w:r>
        <w:rPr>
          <w:rFonts w:hint="default" w:ascii="Times New Roman" w:hAnsi="Times New Roman" w:cs="Times New Roman"/>
          <w:bCs/>
          <w:color w:val="000000" w:themeColor="text1"/>
          <w:sz w:val="20"/>
          <w:szCs w:val="20"/>
          <w:lang w:val="en-US"/>
          <w14:textFill>
            <w14:solidFill>
              <w14:schemeClr w14:val="tx1"/>
            </w14:solidFill>
          </w14:textFill>
        </w:rPr>
        <w:t>in the CSI-RS based L1-RSRP measurement period</w:t>
      </w:r>
      <w:r>
        <w:rPr>
          <w:rFonts w:hint="eastAsia" w:ascii="Times New Roman" w:hAnsi="Times New Roman" w:cs="Times New Roman"/>
          <w:bCs/>
          <w:color w:val="000000" w:themeColor="text1"/>
          <w:sz w:val="20"/>
          <w:szCs w:val="20"/>
          <w:lang w:val="en-US" w:eastAsia="zh-CN"/>
          <w14:textFill>
            <w14:solidFill>
              <w14:schemeClr w14:val="tx1"/>
            </w14:solidFill>
          </w14:textFill>
        </w:rPr>
        <w:t>. Since UE behaviour is different, it is necessary to define test cases to cover both cases.</w:t>
      </w:r>
    </w:p>
    <w:p w14:paraId="1CF4F80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4: for CSI-RS based L1-RSRP measurement on LTM candidate cell(s), it is proposed to define test cases for measurement delay. And both the case with step 2 and the case without step 2 are tested.</w:t>
      </w:r>
    </w:p>
    <w:p w14:paraId="270BA75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legacy CSI-RS based L1-RSRP measurement are for serving cell, both absolute accuracy and relative accuracy are specified. The leagcy CSI-RS based L1-RSRP measurement accuracy are defined based on the assumption that the bandwidth of CSI-RS is 48 PRBs and the density is 3. The side condition is -3dB.   </w:t>
      </w:r>
    </w:p>
    <w:p w14:paraId="43A0B92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CSI-RS based L1-RSRP measurement on neighbor cell, it was agreed to define the measurement period and accuracy requirements based on Density=3 with (≥) 48 PRBs. As for side condition for CSI-RS based L1 measurement for neighbor cell, it was agreed to use legacy side condition of SINR=-3dB. It can be seen that the BW, density, and side condition are same are same as that for legacy CSI-RS based L1-RSRP measurement are for serving cell. And in last meeting, it was agreed not to define RAN4 requirements for RTD &gt; CP. Taking above into account, the legacy accuracy requirements can be used as baseline to define accuracy requirements for CSI-RS based LTM candidate cell measurements. Whether further update is needed can be futher discuss.</w:t>
      </w:r>
    </w:p>
    <w:p w14:paraId="43F8659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accuracy requirements for CSI-RS based LTM candidate cell measurements, including absolute accuracy requirements and relative accuracy requirements, it is proposed to take legacy CSI-RS based L1-RSRP measurement accuracy requirements as baseline.</w:t>
      </w:r>
    </w:p>
    <w:p w14:paraId="696C398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Both CLTM and subsequent CLTM are considered. CLTM cell switch delay requirements and subsequent CLTM  cell switch delay requirements will be defined. It is necessary to define test cases for the two cases.</w:t>
      </w:r>
    </w:p>
    <w:p w14:paraId="55A27FF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it is proposed to define test cases for CLTM cell switch delay and subsequent CLTM cell switch delay. </w:t>
      </w:r>
    </w:p>
    <w:p w14:paraId="6B4C34A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previous meeting, it was agreed that Rel-19 CLTM requirements are applicable for NR SA scenarios. In detail, following cases are agreed.</w:t>
      </w:r>
    </w:p>
    <w:p w14:paraId="5455D561">
      <w:pPr>
        <w:numPr>
          <w:ilvl w:val="0"/>
          <w:numId w:val="9"/>
        </w:numPr>
        <w:overflowPunct w:val="0"/>
        <w:autoSpaceDE w:val="0"/>
        <w:autoSpaceDN w:val="0"/>
        <w:adjustRightInd w:val="0"/>
        <w:snapToGrid w:val="0"/>
        <w:spacing w:after="120"/>
        <w:ind w:left="1720" w:leftChars="5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 neighboring LTM candidate cell</w:t>
      </w:r>
    </w:p>
    <w:p w14:paraId="7BE7C3D9">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05516554">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FR2 cell</w:t>
      </w:r>
    </w:p>
    <w:p w14:paraId="1EA906FB">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557D9F41">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FR1 cell</w:t>
      </w:r>
    </w:p>
    <w:p w14:paraId="4F5352CF">
      <w:pPr>
        <w:numPr>
          <w:ilvl w:val="0"/>
          <w:numId w:val="9"/>
        </w:numPr>
        <w:overflowPunct w:val="0"/>
        <w:autoSpaceDE w:val="0"/>
        <w:autoSpaceDN w:val="0"/>
        <w:adjustRightInd w:val="0"/>
        <w:snapToGrid w:val="0"/>
        <w:spacing w:after="120"/>
        <w:ind w:left="1720" w:leftChars="5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an LTM candidate cell that is a serving SCell in MCG</w:t>
      </w:r>
    </w:p>
    <w:p w14:paraId="4A9CB301">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788C051A">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0EB44F7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From test coverage point of view, it is necessary to define test cases to cover these cases.</w:t>
      </w:r>
    </w:p>
    <w:p w14:paraId="4EFDC92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7: for CLTM and subsequent CLTM, it is proposed to define the tese cases for following scenarios:</w:t>
      </w:r>
    </w:p>
    <w:p w14:paraId="62C5D7FC">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 neighboring LTM candidate cell</w:t>
      </w:r>
    </w:p>
    <w:p w14:paraId="39C6AAB6">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50C31FB6">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FR2 cell</w:t>
      </w:r>
    </w:p>
    <w:p w14:paraId="3821BB2D">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6E70C880">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FR1 cell</w:t>
      </w:r>
    </w:p>
    <w:p w14:paraId="63CA4158">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an LTM candidate cell that is a serving SCell in MCG</w:t>
      </w:r>
    </w:p>
    <w:p w14:paraId="7E5C25C7">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432B732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6D6F9F3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RRM performance requirements for NR mobility enhancements. The proposals are:</w:t>
      </w:r>
    </w:p>
    <w:p w14:paraId="3796101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1: for </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inter-CU LTM and inter-CU subsequent LTM</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it is proposed to discuss whether to define test cases.</w:t>
      </w:r>
    </w:p>
    <w:p w14:paraId="04E7366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2: for event triggered L1 measurement reporting, it is proposed to define test cases for SSB based measurement and CSI-RS based measurements.</w:t>
      </w:r>
    </w:p>
    <w:p w14:paraId="1D79163B">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Both FR1 and FR2-1 are considered.</w:t>
      </w:r>
    </w:p>
    <w:p w14:paraId="5ABC248B">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SSB based event triggered L1 measurement reporting, intra-frequency measurement, inter-frequency measurement without gap, gap-based inter-frequency measurement need to be considered.</w:t>
      </w:r>
    </w:p>
    <w:p w14:paraId="3283D1FB">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CSI-RS based event triggered L1 measurement reporting, measurement without gap need to be considered.</w:t>
      </w:r>
    </w:p>
    <w:p w14:paraId="12381AB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define test cases for LTM event 2/3/4/5 .   </w:t>
      </w:r>
    </w:p>
    <w:p w14:paraId="740F11A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4: for CSI-RS based L1-RSRP measurement on LTM candidate cell(s), it is proposed to define test cases for measurement delay. And both the case with step 2 and the case without step 2 are tested.</w:t>
      </w:r>
    </w:p>
    <w:p w14:paraId="7C743F0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accuracy requirements for CSI-RS based LTM candidate cell measurements, including absolute accuracy requirements and relative accuracy requirements, it is proposed to take legacy CSI-RS based L1-RSRP measurement accuracy requirements as baseline.</w:t>
      </w:r>
    </w:p>
    <w:p w14:paraId="605D038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it is proposed to define test cases for CLTM cell switch delay and subsequent CLTM cell switch delay. </w:t>
      </w:r>
    </w:p>
    <w:p w14:paraId="5613DC1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7: for CLTM and subsequent CLTM, it is proposed to define the tese cases for following scenarios:</w:t>
      </w:r>
    </w:p>
    <w:p w14:paraId="369F812A">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 neighboring LTM candidate cell</w:t>
      </w:r>
    </w:p>
    <w:p w14:paraId="4531D9DB">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1CE9E39F">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FR2 cell</w:t>
      </w:r>
    </w:p>
    <w:p w14:paraId="7EE24CA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6393A40D">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FR1 cell</w:t>
      </w:r>
    </w:p>
    <w:p w14:paraId="1D94330A">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an LTM candidate cell that is a serving SCell in MCG</w:t>
      </w:r>
    </w:p>
    <w:p w14:paraId="1EBFCF00">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3D71596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0A68C210">
      <w:pPr>
        <w:tabs>
          <w:tab w:val="left" w:pos="1134"/>
        </w:tabs>
        <w:spacing w:after="180" w:line="240" w:lineRule="exact"/>
        <w:rPr>
          <w:rFonts w:hint="eastAsia" w:ascii="Times New Roman" w:hAnsi="Times New Roman"/>
          <w:sz w:val="20"/>
          <w:szCs w:val="20"/>
          <w:highlight w:val="none"/>
        </w:rPr>
      </w:pP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71FCDC"/>
    <w:multiLevelType w:val="multilevel"/>
    <w:tmpl w:val="C271FCDC"/>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1">
    <w:nsid w:val="DCC35004"/>
    <w:multiLevelType w:val="singleLevel"/>
    <w:tmpl w:val="DCC35004"/>
    <w:lvl w:ilvl="0" w:tentative="0">
      <w:start w:val="1"/>
      <w:numFmt w:val="bullet"/>
      <w:lvlText w:val=""/>
      <w:lvlJc w:val="left"/>
      <w:pPr>
        <w:ind w:left="420" w:hanging="420"/>
      </w:pPr>
      <w:rPr>
        <w:rFonts w:hint="default" w:ascii="Wingdings" w:hAnsi="Wingdings"/>
      </w:rPr>
    </w:lvl>
  </w:abstractNum>
  <w:abstractNum w:abstractNumId="2">
    <w:nsid w:val="EED4B1A6"/>
    <w:multiLevelType w:val="singleLevel"/>
    <w:tmpl w:val="EED4B1A6"/>
    <w:lvl w:ilvl="0" w:tentative="0">
      <w:start w:val="1"/>
      <w:numFmt w:val="bullet"/>
      <w:lvlText w:val=""/>
      <w:lvlJc w:val="left"/>
      <w:pPr>
        <w:tabs>
          <w:tab w:val="left" w:pos="420"/>
        </w:tabs>
        <w:ind w:left="840" w:hanging="420"/>
      </w:pPr>
      <w:rPr>
        <w:rFonts w:hint="default" w:ascii="Wingdings" w:hAnsi="Wingdings"/>
      </w:rPr>
    </w:lvl>
  </w:abstractNum>
  <w:abstractNum w:abstractNumId="3">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23DE381"/>
    <w:multiLevelType w:val="singleLevel"/>
    <w:tmpl w:val="123DE381"/>
    <w:lvl w:ilvl="0" w:tentative="0">
      <w:start w:val="1"/>
      <w:numFmt w:val="bullet"/>
      <w:lvlText w:val=""/>
      <w:lvlJc w:val="left"/>
      <w:pPr>
        <w:ind w:left="420" w:hanging="420"/>
      </w:pPr>
      <w:rPr>
        <w:rFonts w:hint="default" w:ascii="Wingdings" w:hAnsi="Wingdings"/>
      </w:rPr>
    </w:lvl>
  </w:abstractNum>
  <w:abstractNum w:abstractNumId="5">
    <w:nsid w:val="1D703FD1"/>
    <w:multiLevelType w:val="multilevel"/>
    <w:tmpl w:val="1D703F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1E9EF811"/>
    <w:multiLevelType w:val="singleLevel"/>
    <w:tmpl w:val="1E9EF811"/>
    <w:lvl w:ilvl="0" w:tentative="0">
      <w:start w:val="1"/>
      <w:numFmt w:val="decimal"/>
      <w:suff w:val="space"/>
      <w:lvlText w:val="[%1]"/>
      <w:lvlJc w:val="left"/>
    </w:lvl>
  </w:abstractNum>
  <w:abstractNum w:abstractNumId="7">
    <w:nsid w:val="25E1750E"/>
    <w:multiLevelType w:val="multilevel"/>
    <w:tmpl w:val="25E1750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2BC7224C"/>
    <w:multiLevelType w:val="multilevel"/>
    <w:tmpl w:val="2BC722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8"/>
  </w:num>
  <w:num w:numId="3">
    <w:abstractNumId w:val="3"/>
  </w:num>
  <w:num w:numId="4">
    <w:abstractNumId w:val="10"/>
  </w:num>
  <w:num w:numId="5">
    <w:abstractNumId w:val="12"/>
  </w:num>
  <w:num w:numId="6">
    <w:abstractNumId w:val="4"/>
  </w:num>
  <w:num w:numId="7">
    <w:abstractNumId w:val="1"/>
  </w:num>
  <w:num w:numId="8">
    <w:abstractNumId w:val="0"/>
  </w:num>
  <w:num w:numId="9">
    <w:abstractNumId w:val="9"/>
  </w:num>
  <w:num w:numId="10">
    <w:abstractNumId w:val="7"/>
  </w:num>
  <w:num w:numId="11">
    <w:abstractNumId w:val="5"/>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F1D10"/>
    <w:rsid w:val="03C54999"/>
    <w:rsid w:val="0599059D"/>
    <w:rsid w:val="061B2869"/>
    <w:rsid w:val="06A76524"/>
    <w:rsid w:val="06DB0A8F"/>
    <w:rsid w:val="07195F0C"/>
    <w:rsid w:val="0B4D5672"/>
    <w:rsid w:val="0C811890"/>
    <w:rsid w:val="0DED4141"/>
    <w:rsid w:val="1097653D"/>
    <w:rsid w:val="114C53CF"/>
    <w:rsid w:val="12BE134B"/>
    <w:rsid w:val="17CF1E32"/>
    <w:rsid w:val="1A610400"/>
    <w:rsid w:val="1B0537E4"/>
    <w:rsid w:val="1D245D5D"/>
    <w:rsid w:val="20716758"/>
    <w:rsid w:val="212E281A"/>
    <w:rsid w:val="22EF5A05"/>
    <w:rsid w:val="23555288"/>
    <w:rsid w:val="23A45F21"/>
    <w:rsid w:val="27740CD4"/>
    <w:rsid w:val="2B6A5B72"/>
    <w:rsid w:val="2B995497"/>
    <w:rsid w:val="2C5A7F66"/>
    <w:rsid w:val="30C469A5"/>
    <w:rsid w:val="31D461CB"/>
    <w:rsid w:val="3A094EC7"/>
    <w:rsid w:val="3B78668C"/>
    <w:rsid w:val="3C8464D4"/>
    <w:rsid w:val="3DE6740A"/>
    <w:rsid w:val="409969B6"/>
    <w:rsid w:val="416965B3"/>
    <w:rsid w:val="44192E3A"/>
    <w:rsid w:val="443F297C"/>
    <w:rsid w:val="4585185F"/>
    <w:rsid w:val="45DF1728"/>
    <w:rsid w:val="473507D2"/>
    <w:rsid w:val="49DB7CF9"/>
    <w:rsid w:val="4ACD5D3A"/>
    <w:rsid w:val="4D34553A"/>
    <w:rsid w:val="54C2149E"/>
    <w:rsid w:val="56551307"/>
    <w:rsid w:val="5681017A"/>
    <w:rsid w:val="56BE73D2"/>
    <w:rsid w:val="5A6C76F1"/>
    <w:rsid w:val="5A84202D"/>
    <w:rsid w:val="5D2F6C90"/>
    <w:rsid w:val="5DD75D7F"/>
    <w:rsid w:val="629E5C31"/>
    <w:rsid w:val="62B40F62"/>
    <w:rsid w:val="63A65A71"/>
    <w:rsid w:val="63D11CD0"/>
    <w:rsid w:val="63FF12A3"/>
    <w:rsid w:val="64D70D29"/>
    <w:rsid w:val="6514284A"/>
    <w:rsid w:val="66B81714"/>
    <w:rsid w:val="67360C57"/>
    <w:rsid w:val="6DE36C58"/>
    <w:rsid w:val="6F8A1747"/>
    <w:rsid w:val="72901CD2"/>
    <w:rsid w:val="735F40D6"/>
    <w:rsid w:val="7523162A"/>
    <w:rsid w:val="78F4247E"/>
    <w:rsid w:val="7B09796A"/>
    <w:rsid w:val="7C401BE6"/>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2025-05-09T08:18:36Z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